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shd w:val="clear" w:color="auto" w:fill="FFFFFF"/>
        <w:kinsoku/>
        <w:wordWrap/>
        <w:overflowPunct/>
        <w:topLinePunct w:val="0"/>
        <w:autoSpaceDE/>
        <w:autoSpaceDN/>
        <w:bidi w:val="0"/>
        <w:adjustRightInd/>
        <w:snapToGrid/>
        <w:spacing w:line="580" w:lineRule="exact"/>
        <w:ind w:left="0" w:leftChars="0" w:right="0" w:rightChars="0" w:firstLine="883" w:firstLineChars="200"/>
        <w:jc w:val="center"/>
        <w:textAlignment w:val="auto"/>
        <w:outlineLvl w:val="0"/>
        <w:rPr>
          <w:rFonts w:hint="eastAsia" w:ascii="宋体" w:hAnsi="宋体" w:eastAsia="宋体" w:cs="宋体"/>
          <w:b/>
          <w:bCs/>
          <w:color w:val="666666"/>
          <w:kern w:val="0"/>
          <w:szCs w:val="21"/>
        </w:rPr>
      </w:pPr>
      <w:bookmarkStart w:id="0" w:name="_GoBack"/>
      <w:r>
        <w:rPr>
          <w:rFonts w:hint="eastAsia" w:ascii="宋体" w:hAnsi="宋体" w:eastAsia="宋体" w:cs="宋体"/>
          <w:b/>
          <w:bCs/>
          <w:color w:val="333333"/>
          <w:kern w:val="36"/>
          <w:sz w:val="44"/>
          <w:szCs w:val="44"/>
        </w:rPr>
        <w:t>国家发展改革委就《公平竞争审查制度实施细则（暂行）》答记者问</w:t>
      </w:r>
    </w:p>
    <w:bookmarkEnd w:id="0"/>
    <w:p>
      <w:pPr>
        <w:keepNext w:val="0"/>
        <w:keepLines w:val="0"/>
        <w:pageBreakBefore w:val="0"/>
        <w:widowControl/>
        <w:shd w:val="clear" w:color="auto" w:fill="FFFFFF"/>
        <w:kinsoku/>
        <w:wordWrap/>
        <w:overflowPunct/>
        <w:topLinePunct w:val="0"/>
        <w:autoSpaceDE/>
        <w:autoSpaceDN/>
        <w:bidi w:val="0"/>
        <w:adjustRightInd/>
        <w:snapToGrid/>
        <w:spacing w:line="580" w:lineRule="exact"/>
        <w:ind w:left="0" w:leftChars="0" w:right="0" w:rightChars="0" w:firstLine="0" w:firstLineChars="0"/>
        <w:jc w:val="both"/>
        <w:textAlignment w:val="auto"/>
        <w:rPr>
          <w:rFonts w:hint="eastAsia" w:ascii="宋体" w:hAnsi="宋体" w:eastAsia="宋体" w:cs="宋体"/>
          <w:b/>
          <w:bCs/>
          <w:color w:val="333399"/>
          <w:kern w:val="0"/>
          <w:sz w:val="36"/>
          <w:szCs w:val="36"/>
        </w:rPr>
      </w:pPr>
      <w:r>
        <w:fldChar w:fldCharType="begin"/>
      </w:r>
      <w:r>
        <w:instrText xml:space="preserve"> HYPERLINK "http://www.gov.cn/zhengce/2017-10/26/content_5234668.htm" \o "微信" </w:instrText>
      </w:r>
      <w:r>
        <w:fldChar w:fldCharType="separate"/>
      </w:r>
      <w:r>
        <w:rPr>
          <w:rFonts w:hint="eastAsia" w:ascii="宋体" w:hAnsi="宋体" w:eastAsia="宋体" w:cs="宋体"/>
          <w:color w:val="000000"/>
          <w:kern w:val="0"/>
        </w:rPr>
        <w:t> </w:t>
      </w:r>
      <w:r>
        <w:rPr>
          <w:rFonts w:hint="eastAsia" w:ascii="宋体" w:hAnsi="宋体" w:eastAsia="宋体" w:cs="宋体"/>
          <w:color w:val="000000"/>
          <w:kern w:val="0"/>
        </w:rPr>
        <w:fldChar w:fldCharType="end"/>
      </w:r>
      <w:r>
        <w:fldChar w:fldCharType="begin"/>
      </w:r>
      <w:r>
        <w:instrText xml:space="preserve"> HYPERLINK "http://www.gov.cn/zhengce/2017-10/26/content_5234668.htm" \o "新浪微博" </w:instrText>
      </w:r>
      <w:r>
        <w:fldChar w:fldCharType="separate"/>
      </w:r>
      <w:r>
        <w:rPr>
          <w:rFonts w:hint="eastAsia" w:ascii="宋体" w:hAnsi="宋体" w:eastAsia="宋体" w:cs="宋体"/>
          <w:color w:val="000000"/>
          <w:kern w:val="0"/>
        </w:rPr>
        <w:t> </w:t>
      </w:r>
      <w:r>
        <w:rPr>
          <w:rFonts w:hint="eastAsia" w:ascii="宋体" w:hAnsi="宋体" w:eastAsia="宋体" w:cs="宋体"/>
          <w:color w:val="000000"/>
          <w:kern w:val="0"/>
        </w:rPr>
        <w:fldChar w:fldCharType="end"/>
      </w:r>
      <w:r>
        <w:rPr>
          <w:rFonts w:hint="eastAsia" w:ascii="宋体" w:hAnsi="宋体" w:eastAsia="宋体" w:cs="宋体"/>
          <w:color w:val="898989"/>
          <w:kern w:val="0"/>
        </w:rPr>
        <w:t> </w:t>
      </w:r>
    </w:p>
    <w:p>
      <w:pPr>
        <w:keepNext w:val="0"/>
        <w:keepLines w:val="0"/>
        <w:pageBreakBefore w:val="0"/>
        <w:widowControl/>
        <w:shd w:val="clear" w:color="auto" w:fill="FFFFFF"/>
        <w:kinsoku/>
        <w:wordWrap/>
        <w:overflowPunct/>
        <w:topLinePunct w:val="0"/>
        <w:autoSpaceDE/>
        <w:autoSpaceDN/>
        <w:bidi w:val="0"/>
        <w:adjustRightInd/>
        <w:snapToGrid/>
        <w:spacing w:line="580" w:lineRule="exact"/>
        <w:ind w:left="0" w:leftChars="0" w:right="0" w:rightChars="0" w:firstLine="0" w:firstLineChars="0"/>
        <w:jc w:val="center"/>
        <w:textAlignment w:val="auto"/>
        <w:rPr>
          <w:rFonts w:hint="eastAsia" w:ascii="宋体" w:hAnsi="宋体" w:eastAsia="宋体" w:cs="宋体"/>
          <w:color w:val="333333"/>
          <w:kern w:val="0"/>
          <w:sz w:val="36"/>
          <w:szCs w:val="36"/>
        </w:rPr>
      </w:pPr>
      <w:r>
        <w:rPr>
          <w:rFonts w:hint="eastAsia" w:ascii="宋体" w:hAnsi="宋体" w:eastAsia="宋体" w:cs="宋体"/>
          <w:b/>
          <w:bCs/>
          <w:color w:val="333399"/>
          <w:kern w:val="0"/>
          <w:sz w:val="36"/>
          <w:szCs w:val="36"/>
        </w:rPr>
        <w:t>国家发展改革委有关负责同志就《公平竞争审查制度实施细则（暂行）》答记者问</w:t>
      </w:r>
    </w:p>
    <w:p>
      <w:pPr>
        <w:keepNext w:val="0"/>
        <w:keepLines w:val="0"/>
        <w:pageBreakBefore w:val="0"/>
        <w:widowControl/>
        <w:shd w:val="clear" w:color="auto" w:fill="FFFFFF"/>
        <w:kinsoku/>
        <w:wordWrap/>
        <w:overflowPunct/>
        <w:topLinePunct w:val="0"/>
        <w:autoSpaceDE/>
        <w:autoSpaceDN/>
        <w:bidi w:val="0"/>
        <w:adjustRightInd/>
        <w:snapToGrid/>
        <w:spacing w:line="580" w:lineRule="exact"/>
        <w:ind w:left="0" w:leftChars="0" w:right="0" w:rightChars="0" w:firstLine="640" w:firstLineChars="200"/>
        <w:jc w:val="both"/>
        <w:textAlignment w:val="auto"/>
        <w:rPr>
          <w:rFonts w:hint="eastAsia" w:ascii="仿宋" w:hAnsi="仿宋" w:eastAsia="仿宋" w:cs="宋体"/>
          <w:color w:val="333333"/>
          <w:kern w:val="0"/>
          <w:sz w:val="32"/>
          <w:szCs w:val="32"/>
        </w:rPr>
      </w:pPr>
      <w:r>
        <w:rPr>
          <w:rFonts w:hint="eastAsia" w:ascii="仿宋" w:hAnsi="仿宋" w:eastAsia="仿宋" w:cs="宋体"/>
          <w:color w:val="333333"/>
          <w:kern w:val="0"/>
          <w:sz w:val="32"/>
          <w:szCs w:val="32"/>
        </w:rPr>
        <w:t>10月23日，经国务院同意，国家发展改革委、财政部、商务部、工商总局、国务院法制办联合印发了《公平竞争审查制度实施细则（暂行）》（以下称《实施细则》）。这是继《关于在市场体系建设中建立公平竞争审查制度的意见》（国发〔2016〕34号，以下称34号文件）后，针对公平竞争审查出台的又一指导性文件，对推动公平竞争审查制度的全面实施具有重要意义。就此，记者采访了国家发展改革委有关负责同志。</w:t>
      </w:r>
    </w:p>
    <w:p>
      <w:pPr>
        <w:keepNext w:val="0"/>
        <w:keepLines w:val="0"/>
        <w:pageBreakBefore w:val="0"/>
        <w:widowControl/>
        <w:shd w:val="clear" w:color="auto" w:fill="FFFFFF"/>
        <w:kinsoku/>
        <w:wordWrap/>
        <w:overflowPunct/>
        <w:topLinePunct w:val="0"/>
        <w:autoSpaceDE/>
        <w:autoSpaceDN/>
        <w:bidi w:val="0"/>
        <w:adjustRightInd/>
        <w:snapToGrid/>
        <w:spacing w:line="580" w:lineRule="exact"/>
        <w:ind w:left="0" w:leftChars="0" w:right="0" w:rightChars="0" w:firstLine="643" w:firstLineChars="200"/>
        <w:jc w:val="both"/>
        <w:textAlignment w:val="auto"/>
        <w:rPr>
          <w:rFonts w:hint="eastAsia" w:ascii="仿宋" w:hAnsi="仿宋" w:eastAsia="仿宋" w:cs="宋体"/>
          <w:color w:val="333333"/>
          <w:kern w:val="0"/>
          <w:sz w:val="32"/>
          <w:szCs w:val="32"/>
        </w:rPr>
      </w:pPr>
      <w:r>
        <w:rPr>
          <w:rFonts w:hint="eastAsia" w:ascii="仿宋" w:hAnsi="仿宋" w:eastAsia="仿宋" w:cs="宋体"/>
          <w:b/>
          <w:bCs/>
          <w:color w:val="333333"/>
          <w:kern w:val="0"/>
          <w:sz w:val="32"/>
          <w:szCs w:val="32"/>
        </w:rPr>
        <w:t>问：《实施细则》的出台背景和重要意义是什么？</w:t>
      </w:r>
    </w:p>
    <w:p>
      <w:pPr>
        <w:keepNext w:val="0"/>
        <w:keepLines w:val="0"/>
        <w:pageBreakBefore w:val="0"/>
        <w:widowControl/>
        <w:shd w:val="clear" w:color="auto" w:fill="FFFFFF"/>
        <w:kinsoku/>
        <w:wordWrap/>
        <w:overflowPunct/>
        <w:topLinePunct w:val="0"/>
        <w:autoSpaceDE/>
        <w:autoSpaceDN/>
        <w:bidi w:val="0"/>
        <w:adjustRightInd/>
        <w:snapToGrid/>
        <w:spacing w:line="580" w:lineRule="exact"/>
        <w:ind w:left="0" w:leftChars="0" w:right="0" w:rightChars="0" w:firstLine="640" w:firstLineChars="200"/>
        <w:jc w:val="both"/>
        <w:textAlignment w:val="auto"/>
        <w:rPr>
          <w:rFonts w:hint="eastAsia" w:ascii="仿宋" w:hAnsi="仿宋" w:eastAsia="仿宋" w:cs="宋体"/>
          <w:color w:val="333333"/>
          <w:kern w:val="0"/>
          <w:sz w:val="32"/>
          <w:szCs w:val="32"/>
        </w:rPr>
      </w:pPr>
      <w:r>
        <w:rPr>
          <w:rFonts w:hint="eastAsia" w:ascii="仿宋" w:hAnsi="仿宋" w:eastAsia="仿宋" w:cs="宋体"/>
          <w:color w:val="333333"/>
          <w:kern w:val="0"/>
          <w:sz w:val="32"/>
          <w:szCs w:val="32"/>
        </w:rPr>
        <w:t>答：公平竞争审查制度是党中央、国务院深化经济体制改革的重要决策部署。34号文件印发后，国家发展改革委会同有关部门，积极推进制度的贯彻落实。目前，制度实施已经取得了阶段性成效。国务院各部门均已建立审查机制，对新出台的政策措施进行审查；31个省（区、市）均已印发实施方案，有序开展审查工作；市县政府在省政府指导下着手部署落实。同时，在制度实施中也暴露出一些问题，影响制度全面实施。基于上述情况，国家发展改革委会同有关部门研究制定了《实施细则》，其重要意义体现在三个方面：</w:t>
      </w:r>
    </w:p>
    <w:p>
      <w:pPr>
        <w:keepNext w:val="0"/>
        <w:keepLines w:val="0"/>
        <w:pageBreakBefore w:val="0"/>
        <w:widowControl/>
        <w:shd w:val="clear" w:color="auto" w:fill="FFFFFF"/>
        <w:kinsoku/>
        <w:wordWrap/>
        <w:overflowPunct/>
        <w:topLinePunct w:val="0"/>
        <w:autoSpaceDE/>
        <w:autoSpaceDN/>
        <w:bidi w:val="0"/>
        <w:adjustRightInd/>
        <w:snapToGrid/>
        <w:spacing w:line="580" w:lineRule="exact"/>
        <w:ind w:left="0" w:leftChars="0" w:right="0" w:rightChars="0" w:firstLine="640" w:firstLineChars="200"/>
        <w:jc w:val="both"/>
        <w:textAlignment w:val="auto"/>
        <w:rPr>
          <w:rFonts w:hint="eastAsia" w:ascii="仿宋" w:hAnsi="仿宋" w:eastAsia="仿宋" w:cs="宋体"/>
          <w:color w:val="333333"/>
          <w:kern w:val="0"/>
          <w:sz w:val="32"/>
          <w:szCs w:val="32"/>
        </w:rPr>
      </w:pPr>
      <w:r>
        <w:rPr>
          <w:rFonts w:hint="eastAsia" w:ascii="仿宋" w:hAnsi="仿宋" w:eastAsia="仿宋" w:cs="宋体"/>
          <w:color w:val="333333"/>
          <w:kern w:val="0"/>
          <w:sz w:val="32"/>
          <w:szCs w:val="32"/>
        </w:rPr>
        <w:t>（一）有利于深化政策制定机关对制度的理解和认识。由于观念转变滞后、自身能力有限等原因，一些政府部门对制度重要性的认识仍不到位，影响了工作进展。在34号文件印发一年后，经国务院批准，五部门联合印发《实施细则》，对落实公平竞争审查制度再次提出要求，体现了党中央、国务院对此项工作的高度重视，有利于进一步深化各地区、各部门对制度的理解和认识，形成持续推动制度实施的良好局面。</w:t>
      </w:r>
    </w:p>
    <w:p>
      <w:pPr>
        <w:keepNext w:val="0"/>
        <w:keepLines w:val="0"/>
        <w:pageBreakBefore w:val="0"/>
        <w:widowControl/>
        <w:shd w:val="clear" w:color="auto" w:fill="FFFFFF"/>
        <w:kinsoku/>
        <w:wordWrap/>
        <w:overflowPunct/>
        <w:topLinePunct w:val="0"/>
        <w:autoSpaceDE/>
        <w:autoSpaceDN/>
        <w:bidi w:val="0"/>
        <w:adjustRightInd/>
        <w:snapToGrid/>
        <w:spacing w:line="580" w:lineRule="exact"/>
        <w:ind w:left="0" w:leftChars="0" w:right="0" w:rightChars="0" w:firstLine="640" w:firstLineChars="200"/>
        <w:jc w:val="both"/>
        <w:textAlignment w:val="auto"/>
        <w:rPr>
          <w:rFonts w:hint="eastAsia" w:ascii="仿宋" w:hAnsi="仿宋" w:eastAsia="仿宋" w:cs="宋体"/>
          <w:color w:val="333333"/>
          <w:kern w:val="0"/>
          <w:sz w:val="32"/>
          <w:szCs w:val="32"/>
        </w:rPr>
      </w:pPr>
      <w:r>
        <w:rPr>
          <w:rFonts w:hint="eastAsia" w:ascii="仿宋" w:hAnsi="仿宋" w:eastAsia="仿宋" w:cs="宋体"/>
          <w:color w:val="333333"/>
          <w:kern w:val="0"/>
          <w:sz w:val="32"/>
          <w:szCs w:val="32"/>
        </w:rPr>
        <w:t>（二）有利于解决公平竞争审查制度实施中的突出问题。从当前制度实施情况看，虽然大多数部门和地区已经建立了审查机制，但实际运行中存在不认真审查和审查能力不足等问题。《实施细则》通过进一步明确审查机制和程序、细化审查标准、加强政策指导、强化监督问责，有效地解决这些问题，保障制度实施取得实实在在的效果。</w:t>
      </w:r>
    </w:p>
    <w:p>
      <w:pPr>
        <w:keepNext w:val="0"/>
        <w:keepLines w:val="0"/>
        <w:pageBreakBefore w:val="0"/>
        <w:widowControl/>
        <w:shd w:val="clear" w:color="auto" w:fill="FFFFFF"/>
        <w:kinsoku/>
        <w:wordWrap/>
        <w:overflowPunct/>
        <w:topLinePunct w:val="0"/>
        <w:autoSpaceDE/>
        <w:autoSpaceDN/>
        <w:bidi w:val="0"/>
        <w:adjustRightInd/>
        <w:snapToGrid/>
        <w:spacing w:line="580" w:lineRule="exact"/>
        <w:ind w:left="0" w:leftChars="0" w:right="0" w:rightChars="0" w:firstLine="640" w:firstLineChars="200"/>
        <w:jc w:val="both"/>
        <w:textAlignment w:val="auto"/>
        <w:rPr>
          <w:rFonts w:hint="eastAsia" w:ascii="仿宋" w:hAnsi="仿宋" w:eastAsia="仿宋" w:cs="宋体"/>
          <w:color w:val="333333"/>
          <w:kern w:val="0"/>
          <w:sz w:val="32"/>
          <w:szCs w:val="32"/>
        </w:rPr>
      </w:pPr>
      <w:r>
        <w:rPr>
          <w:rFonts w:hint="eastAsia" w:ascii="仿宋" w:hAnsi="仿宋" w:eastAsia="仿宋" w:cs="宋体"/>
          <w:color w:val="333333"/>
          <w:kern w:val="0"/>
          <w:sz w:val="32"/>
          <w:szCs w:val="32"/>
        </w:rPr>
        <w:t>（三）有利于推动公平竞争审查制度的不断完善。公平竞争审查制度是一项新的制度，需要在实践中不断发展完善。34号文件对制度建立做出了全面部署，文件印发以来一些地区和部门在审查机制、方式、程序和强化监督等方面进行了有益的探索，形成了很多有效的经验做法。《实施细则》正是在总结相关经验和各方面意见建议的基础上作进一步细化，推动公平竞争审查制度本身不断完善。</w:t>
      </w:r>
    </w:p>
    <w:p>
      <w:pPr>
        <w:keepNext w:val="0"/>
        <w:keepLines w:val="0"/>
        <w:pageBreakBefore w:val="0"/>
        <w:widowControl/>
        <w:shd w:val="clear" w:color="auto" w:fill="FFFFFF"/>
        <w:kinsoku/>
        <w:wordWrap/>
        <w:overflowPunct/>
        <w:topLinePunct w:val="0"/>
        <w:autoSpaceDE/>
        <w:autoSpaceDN/>
        <w:bidi w:val="0"/>
        <w:adjustRightInd/>
        <w:snapToGrid/>
        <w:spacing w:line="580" w:lineRule="exact"/>
        <w:ind w:left="0" w:leftChars="0" w:right="0" w:rightChars="0" w:firstLine="643" w:firstLineChars="200"/>
        <w:jc w:val="both"/>
        <w:textAlignment w:val="auto"/>
        <w:rPr>
          <w:rFonts w:hint="eastAsia" w:ascii="仿宋" w:hAnsi="仿宋" w:eastAsia="仿宋" w:cs="宋体"/>
          <w:color w:val="333333"/>
          <w:kern w:val="0"/>
          <w:sz w:val="32"/>
          <w:szCs w:val="32"/>
        </w:rPr>
      </w:pPr>
      <w:r>
        <w:rPr>
          <w:rFonts w:hint="eastAsia" w:ascii="仿宋" w:hAnsi="仿宋" w:eastAsia="仿宋" w:cs="宋体"/>
          <w:b/>
          <w:bCs/>
          <w:color w:val="333333"/>
          <w:kern w:val="0"/>
          <w:sz w:val="32"/>
          <w:szCs w:val="32"/>
        </w:rPr>
        <w:t>问：《实施细则》的基本特点和主要内容有哪些？</w:t>
      </w:r>
    </w:p>
    <w:p>
      <w:pPr>
        <w:keepNext w:val="0"/>
        <w:keepLines w:val="0"/>
        <w:pageBreakBefore w:val="0"/>
        <w:widowControl/>
        <w:shd w:val="clear" w:color="auto" w:fill="FFFFFF"/>
        <w:kinsoku/>
        <w:wordWrap/>
        <w:overflowPunct/>
        <w:topLinePunct w:val="0"/>
        <w:autoSpaceDE/>
        <w:autoSpaceDN/>
        <w:bidi w:val="0"/>
        <w:adjustRightInd/>
        <w:snapToGrid/>
        <w:spacing w:line="580" w:lineRule="exact"/>
        <w:ind w:left="0" w:leftChars="0" w:right="0" w:rightChars="0" w:firstLine="640" w:firstLineChars="200"/>
        <w:jc w:val="both"/>
        <w:textAlignment w:val="auto"/>
        <w:rPr>
          <w:rFonts w:hint="eastAsia" w:ascii="仿宋" w:hAnsi="仿宋" w:eastAsia="仿宋" w:cs="宋体"/>
          <w:color w:val="333333"/>
          <w:kern w:val="0"/>
          <w:sz w:val="32"/>
          <w:szCs w:val="32"/>
        </w:rPr>
      </w:pPr>
      <w:r>
        <w:rPr>
          <w:rFonts w:hint="eastAsia" w:ascii="仿宋" w:hAnsi="仿宋" w:eastAsia="仿宋" w:cs="宋体"/>
          <w:color w:val="333333"/>
          <w:kern w:val="0"/>
          <w:sz w:val="32"/>
          <w:szCs w:val="32"/>
        </w:rPr>
        <w:t>答：《实施细则》分6章、共26条，分别从审查机制和程序、审查标准、例外规定、社会监督、责任追究等方面予以细化。总体思路是，坚持问题导向，在遵循34号文件基本规定和现行法律法规的前提下，通过明确相关程序和规则，督促和指导政策制定机关切实开展公平竞争审查工作，保障公平竞争审查制度有效实施。《实施细则》集中体现了三个特点：</w:t>
      </w:r>
    </w:p>
    <w:p>
      <w:pPr>
        <w:keepNext w:val="0"/>
        <w:keepLines w:val="0"/>
        <w:pageBreakBefore w:val="0"/>
        <w:widowControl/>
        <w:numPr>
          <w:ilvl w:val="0"/>
          <w:numId w:val="1"/>
        </w:numPr>
        <w:shd w:val="clear" w:color="auto" w:fill="FFFFFF"/>
        <w:kinsoku/>
        <w:wordWrap/>
        <w:overflowPunct/>
        <w:topLinePunct w:val="0"/>
        <w:autoSpaceDE/>
        <w:autoSpaceDN/>
        <w:bidi w:val="0"/>
        <w:adjustRightInd/>
        <w:snapToGrid/>
        <w:spacing w:line="580" w:lineRule="exact"/>
        <w:ind w:left="0" w:leftChars="0" w:right="0" w:rightChars="0" w:firstLine="640" w:firstLineChars="200"/>
        <w:jc w:val="both"/>
        <w:textAlignment w:val="auto"/>
        <w:rPr>
          <w:rFonts w:hint="eastAsia" w:ascii="仿宋" w:hAnsi="仿宋" w:eastAsia="仿宋" w:cs="宋体"/>
          <w:color w:val="333333"/>
          <w:kern w:val="0"/>
          <w:sz w:val="32"/>
          <w:szCs w:val="32"/>
        </w:rPr>
      </w:pPr>
      <w:r>
        <w:rPr>
          <w:rFonts w:hint="eastAsia" w:ascii="仿宋" w:hAnsi="仿宋" w:eastAsia="仿宋" w:cs="宋体"/>
          <w:color w:val="333333"/>
          <w:kern w:val="0"/>
          <w:sz w:val="32"/>
          <w:szCs w:val="32"/>
        </w:rPr>
        <w:t>强化程序约束。有效的程序约束是落实公平竞争审查制度的重要保障。特别是在自我审查的前提下，如何设计好审查程序至关重要。《实施细则》主要从以下四个方面强化对公平竞争审查工作的程序约束，着力解决不审查、不认真审查问题。一是明确内部审查机制。为建立内部审查机制提供模式选择，既可以由政策制定机关的具体业务机构负责，也可以由内部特定机构统一负责。政策制定机关可以自行确定，关键要建立机制、明确责任。二是要求形成书面审查结论。未形成书面结论的视为未进行审查，而且书面结论应当体现包括核对审查标准、征求有关方面意见、判断是否适用例外规定等在内的整个审查流程，防止敷衍了事。三是细化征求意见规则和程序。强调公平竞争审查要征求利害关系人意见或向社会公开征求意见，并在书面结论中说明征求意见情况。同时，进一步明确了利害关系人的范围。四是建立定期报告制度。政策制定机关需要于每年1月31日前，将公平竞争审查年度总结报告报送同级联席会议办公室，便于联席会议掌握制度实施情况、加强监督指导。</w:t>
      </w:r>
    </w:p>
    <w:p>
      <w:pPr>
        <w:keepNext w:val="0"/>
        <w:keepLines w:val="0"/>
        <w:pageBreakBefore w:val="0"/>
        <w:widowControl/>
        <w:numPr>
          <w:ilvl w:val="0"/>
          <w:numId w:val="0"/>
        </w:numPr>
        <w:shd w:val="clear" w:color="auto" w:fill="FFFFFF"/>
        <w:kinsoku/>
        <w:wordWrap/>
        <w:overflowPunct/>
        <w:topLinePunct w:val="0"/>
        <w:autoSpaceDE/>
        <w:autoSpaceDN/>
        <w:bidi w:val="0"/>
        <w:adjustRightInd/>
        <w:snapToGrid/>
        <w:spacing w:line="580" w:lineRule="exact"/>
        <w:ind w:left="0" w:leftChars="0" w:right="0" w:rightChars="0" w:firstLine="640" w:firstLineChars="200"/>
        <w:jc w:val="both"/>
        <w:textAlignment w:val="auto"/>
        <w:rPr>
          <w:rFonts w:hint="eastAsia" w:ascii="仿宋" w:hAnsi="仿宋" w:eastAsia="仿宋" w:cs="宋体"/>
          <w:color w:val="333333"/>
          <w:kern w:val="0"/>
          <w:sz w:val="32"/>
          <w:szCs w:val="32"/>
        </w:rPr>
      </w:pPr>
      <w:r>
        <w:rPr>
          <w:rFonts w:hint="eastAsia" w:ascii="仿宋" w:hAnsi="仿宋" w:eastAsia="仿宋" w:cs="宋体"/>
          <w:color w:val="333333"/>
          <w:kern w:val="0"/>
          <w:sz w:val="32"/>
          <w:szCs w:val="32"/>
        </w:rPr>
        <w:t>为进一步规范公平竞争审查工作，《实施细则》还制定了“一图一表”，即流程图和审查表。流程图体现了公平竞争审查的基本步骤，可以概括为“三步走”：第一步判断是否需要进行公平竞争审查，第二步核对是否存在违反18条标准的情形，第三步在违反相关标准的情况下确定是否适用例外规定。审查表为形成书面审查结论提供了形式参考，包括文件名称、涉及领域、起草和审查机构、效力层级、征求意见、标准核对、具体结论、是否适用例外规定等要素，反映审查工作的全过程，并由审查机构主要负责人签字后，随相关材料一并履行发文程序。下一步，将在各地区、各部门鼓励推广使用审查表，不断提高公平竞争审查的统一化、规范化、精细化水平。</w:t>
      </w:r>
    </w:p>
    <w:p>
      <w:pPr>
        <w:keepNext w:val="0"/>
        <w:keepLines w:val="0"/>
        <w:pageBreakBefore w:val="0"/>
        <w:widowControl/>
        <w:shd w:val="clear" w:color="auto" w:fill="FFFFFF"/>
        <w:kinsoku/>
        <w:wordWrap/>
        <w:overflowPunct/>
        <w:topLinePunct w:val="0"/>
        <w:autoSpaceDE/>
        <w:autoSpaceDN/>
        <w:bidi w:val="0"/>
        <w:adjustRightInd/>
        <w:snapToGrid/>
        <w:spacing w:line="580" w:lineRule="exact"/>
        <w:ind w:left="0" w:leftChars="0" w:right="0" w:rightChars="0" w:firstLine="640" w:firstLineChars="200"/>
        <w:jc w:val="both"/>
        <w:textAlignment w:val="auto"/>
        <w:rPr>
          <w:rFonts w:hint="eastAsia" w:ascii="仿宋" w:hAnsi="仿宋" w:eastAsia="仿宋" w:cs="宋体"/>
          <w:color w:val="333333"/>
          <w:kern w:val="0"/>
          <w:sz w:val="32"/>
          <w:szCs w:val="32"/>
        </w:rPr>
      </w:pPr>
      <w:r>
        <w:rPr>
          <w:rFonts w:hint="eastAsia" w:ascii="仿宋" w:hAnsi="仿宋" w:eastAsia="仿宋" w:cs="宋体"/>
          <w:color w:val="333333"/>
          <w:kern w:val="0"/>
          <w:sz w:val="32"/>
          <w:szCs w:val="32"/>
        </w:rPr>
        <w:t>（二）加强实体指导。34号文件从维护公平竞争和统一市场两个维度，明确了四个方面18条审查标准，基本涵盖了当前政府部门妨碍市场竞争的主要行为类型。但是，由于经济生活的复杂性，一些政府部门在面对具体政策措施时，仍然存在难以准确把握和适用审查标准的问题。《实施细则》根据相关法律法规、反垄断执法实践以及各方面反映的问题，在充分征求行业主管部门、行业协会、企业和专家学者意见的基础上，对四个方面18条审查标准逐条进行细化，形成了50余条二级标准。</w:t>
      </w:r>
    </w:p>
    <w:p>
      <w:pPr>
        <w:keepNext w:val="0"/>
        <w:keepLines w:val="0"/>
        <w:pageBreakBefore w:val="0"/>
        <w:widowControl/>
        <w:shd w:val="clear" w:color="auto" w:fill="FFFFFF"/>
        <w:kinsoku/>
        <w:wordWrap/>
        <w:overflowPunct/>
        <w:topLinePunct w:val="0"/>
        <w:autoSpaceDE/>
        <w:autoSpaceDN/>
        <w:bidi w:val="0"/>
        <w:adjustRightInd/>
        <w:snapToGrid/>
        <w:spacing w:line="580" w:lineRule="exact"/>
        <w:ind w:left="0" w:leftChars="0" w:right="0" w:rightChars="0" w:firstLine="640" w:firstLineChars="200"/>
        <w:jc w:val="both"/>
        <w:textAlignment w:val="auto"/>
        <w:rPr>
          <w:rFonts w:hint="eastAsia" w:ascii="仿宋" w:hAnsi="仿宋" w:eastAsia="仿宋" w:cs="宋体"/>
          <w:color w:val="333333"/>
          <w:kern w:val="0"/>
          <w:sz w:val="32"/>
          <w:szCs w:val="32"/>
        </w:rPr>
      </w:pPr>
      <w:r>
        <w:rPr>
          <w:rFonts w:hint="eastAsia" w:ascii="仿宋" w:hAnsi="仿宋" w:eastAsia="仿宋" w:cs="宋体"/>
          <w:color w:val="333333"/>
          <w:kern w:val="0"/>
          <w:sz w:val="32"/>
          <w:szCs w:val="32"/>
        </w:rPr>
        <w:t>细化审查标准的主要思路：一是进一步明确标准内涵。比如，明确了“不合理和歧视性准入退出条件”的内涵，即“不合理”指设置明显不必要或者超出实际需要的准入退出条件；“歧视性”指对不同所有制、地区、组织形式的经营者实施差别化待遇，设置不平等的准入退出条件。再如，明确了“不得违法披露或者违法要求经营者披露生产经营敏感信息”中的“敏感信息”概念，即除依据法律法规或者国务院规定需要公开之外，生产经营者未主动公开，通过公开渠道无法采集的生产经营数据，包括拟定价格、成本、生产数量、销售数量、生产销售计划、经销商信息、终端客户信息等。二是进一步列举表现形式。比如，列举了“限制外地和进口商品、服务进入本地市场”的具体形式，包括实施不同的技术要求、检验标准；采取重复检验、重复认证等歧视性技术措施；设置专门针对外地和进口商品、服务的专营、专卖、审批、许可；设置关卡或者通过软件、互联网设置屏蔽等手段等。再如，列举了“给予特定经营者优惠政策”的具体形式，包括给予特定经营者财政奖励和补贴；减免特定经营者应当缴纳的税款；以优惠价格、零地价或者以划拨、作价出资方式向特定经营者供应土地；在环保标准、排污权限等方面给予特定经营者特殊待遇；对特定经营者减免、缓征或停征行政事业性收费、政府性基金、住房公积金等。三是与法律法规和国务院规定相衔接。我国相关法律、行政法规和国务院规定基于经济发展需要和实现更大效率目标的考虑，对特定行业、领域和行为做出了特殊规定。《实施细则》在细化审查标准的同时注重做好相关衔接。</w:t>
      </w:r>
    </w:p>
    <w:p>
      <w:pPr>
        <w:keepNext w:val="0"/>
        <w:keepLines w:val="0"/>
        <w:pageBreakBefore w:val="0"/>
        <w:widowControl/>
        <w:shd w:val="clear" w:color="auto" w:fill="FFFFFF"/>
        <w:kinsoku/>
        <w:wordWrap/>
        <w:overflowPunct/>
        <w:topLinePunct w:val="0"/>
        <w:autoSpaceDE/>
        <w:autoSpaceDN/>
        <w:bidi w:val="0"/>
        <w:adjustRightInd/>
        <w:snapToGrid/>
        <w:spacing w:line="580" w:lineRule="exact"/>
        <w:ind w:left="0" w:leftChars="0" w:right="0" w:rightChars="0" w:firstLine="640" w:firstLineChars="200"/>
        <w:jc w:val="both"/>
        <w:textAlignment w:val="auto"/>
        <w:rPr>
          <w:rFonts w:hint="eastAsia" w:ascii="仿宋" w:hAnsi="仿宋" w:eastAsia="仿宋" w:cs="宋体"/>
          <w:color w:val="333333"/>
          <w:kern w:val="0"/>
          <w:sz w:val="32"/>
          <w:szCs w:val="32"/>
        </w:rPr>
      </w:pPr>
      <w:r>
        <w:rPr>
          <w:rFonts w:hint="eastAsia" w:ascii="仿宋" w:hAnsi="仿宋" w:eastAsia="仿宋" w:cs="宋体"/>
          <w:color w:val="333333"/>
          <w:kern w:val="0"/>
          <w:sz w:val="32"/>
          <w:szCs w:val="32"/>
        </w:rPr>
        <w:t>为更好地指导政策制定机关开展审查，《实施细则》还明确了咨询和争议协调解决机制。政策制定机关开展审查可以咨询专家学者、法律顾问、专业机构的意见；也可以向履行相关职责的反垄断执法机构提出咨询，反垄断执法机构基于政策制定机关提供的材料，提供咨询意见。对存在较大争议或者部门意见难以达成一致的问题，政策制定机关还可以提请同级公平竞争审查联席会议协调；仍无法协调一致的，由其提交上级机关决定。</w:t>
      </w:r>
    </w:p>
    <w:p>
      <w:pPr>
        <w:keepNext w:val="0"/>
        <w:keepLines w:val="0"/>
        <w:pageBreakBefore w:val="0"/>
        <w:widowControl/>
        <w:shd w:val="clear" w:color="auto" w:fill="FFFFFF"/>
        <w:kinsoku/>
        <w:wordWrap/>
        <w:overflowPunct/>
        <w:topLinePunct w:val="0"/>
        <w:autoSpaceDE/>
        <w:autoSpaceDN/>
        <w:bidi w:val="0"/>
        <w:adjustRightInd/>
        <w:snapToGrid/>
        <w:spacing w:line="580" w:lineRule="exact"/>
        <w:ind w:left="0" w:leftChars="0" w:right="0" w:rightChars="0" w:firstLine="640" w:firstLineChars="200"/>
        <w:jc w:val="both"/>
        <w:textAlignment w:val="auto"/>
        <w:rPr>
          <w:rFonts w:hint="eastAsia" w:ascii="仿宋" w:hAnsi="仿宋" w:eastAsia="仿宋" w:cs="宋体"/>
          <w:color w:val="333333"/>
          <w:kern w:val="0"/>
          <w:sz w:val="32"/>
          <w:szCs w:val="32"/>
        </w:rPr>
      </w:pPr>
      <w:r>
        <w:rPr>
          <w:rFonts w:hint="eastAsia" w:ascii="仿宋" w:hAnsi="仿宋" w:eastAsia="仿宋" w:cs="宋体"/>
          <w:color w:val="333333"/>
          <w:kern w:val="0"/>
          <w:sz w:val="32"/>
          <w:szCs w:val="32"/>
        </w:rPr>
        <w:t>（三）严格监督问责。现阶段公平竞争审查制度采取“自我审查”模式。这是当前最为现实可行的方案，有利于制度的尽快出台和顺利实施。但是，仅仅依靠自我审查是不够的，必须建立健全监督问责机制，使公平竞争审查真正可监督、可检查、可问责，保障审查工作的客观性、有效性。《实施细则》进一步明确了监督举报和责任追究问题，主要包括：一是建立健全监督举报机制。对未进行审查或者违反审查标准出台政策措施的情况，任何单位和个人可以向政策制定机关反映，或者向上级机关或反垄断执法机构举报。二是明确责任追究方式。强调政策制定机关主动纠正与上级机关责令改正相结合。政策制定机关未进行审查出台政策措施的，应当及时补做审查；发现存在违反审查标准问题的，应当按照相关程序停止执行或调整相关政策措施。上级机关可以责令政策制定机关改正，拒不改正或者不及时改正的，要依法依规对直接负责的主管人员和其他直接责任人员给予处分。三是发挥反垄断执法机构的监督作用。政策制定机关未进行公平竞争审查或者违反审查标准出台政策措施，并涉嫌违反《反垄断法》的，反垄断执法机构有权进行调查，并向政策制定机关或者其上级机关提出停止执行或者调整政策措施的建议。</w:t>
      </w:r>
    </w:p>
    <w:p>
      <w:pPr>
        <w:keepNext w:val="0"/>
        <w:keepLines w:val="0"/>
        <w:pageBreakBefore w:val="0"/>
        <w:widowControl/>
        <w:shd w:val="clear" w:color="auto" w:fill="FFFFFF"/>
        <w:kinsoku/>
        <w:wordWrap/>
        <w:overflowPunct/>
        <w:topLinePunct w:val="0"/>
        <w:autoSpaceDE/>
        <w:autoSpaceDN/>
        <w:bidi w:val="0"/>
        <w:adjustRightInd/>
        <w:snapToGrid/>
        <w:spacing w:line="580" w:lineRule="exact"/>
        <w:ind w:left="0" w:leftChars="0" w:right="0" w:rightChars="0" w:firstLine="643" w:firstLineChars="200"/>
        <w:jc w:val="both"/>
        <w:textAlignment w:val="auto"/>
        <w:rPr>
          <w:rFonts w:hint="eastAsia" w:ascii="仿宋" w:hAnsi="仿宋" w:eastAsia="仿宋" w:cs="宋体"/>
          <w:color w:val="333333"/>
          <w:kern w:val="0"/>
          <w:sz w:val="32"/>
          <w:szCs w:val="32"/>
        </w:rPr>
      </w:pPr>
      <w:r>
        <w:rPr>
          <w:rFonts w:hint="eastAsia" w:ascii="仿宋" w:hAnsi="仿宋" w:eastAsia="仿宋" w:cs="宋体"/>
          <w:b/>
          <w:bCs/>
          <w:color w:val="333333"/>
          <w:kern w:val="0"/>
          <w:sz w:val="32"/>
          <w:szCs w:val="32"/>
        </w:rPr>
        <w:t>问：下一步有哪些工作安排？</w:t>
      </w:r>
    </w:p>
    <w:p>
      <w:pPr>
        <w:keepNext w:val="0"/>
        <w:keepLines w:val="0"/>
        <w:pageBreakBefore w:val="0"/>
        <w:widowControl/>
        <w:shd w:val="clear" w:color="auto" w:fill="FFFFFF"/>
        <w:kinsoku/>
        <w:wordWrap/>
        <w:overflowPunct/>
        <w:topLinePunct w:val="0"/>
        <w:autoSpaceDE/>
        <w:autoSpaceDN/>
        <w:bidi w:val="0"/>
        <w:adjustRightInd/>
        <w:snapToGrid/>
        <w:spacing w:line="580" w:lineRule="exact"/>
        <w:ind w:left="0" w:leftChars="0" w:right="0" w:rightChars="0" w:firstLine="640" w:firstLineChars="200"/>
        <w:jc w:val="both"/>
        <w:textAlignment w:val="auto"/>
        <w:rPr>
          <w:rFonts w:hint="eastAsia" w:ascii="仿宋" w:hAnsi="仿宋" w:eastAsia="仿宋" w:cs="宋体"/>
          <w:color w:val="333333"/>
          <w:kern w:val="0"/>
          <w:sz w:val="32"/>
          <w:szCs w:val="32"/>
        </w:rPr>
      </w:pPr>
      <w:r>
        <w:rPr>
          <w:rFonts w:hint="eastAsia" w:ascii="仿宋" w:hAnsi="仿宋" w:eastAsia="仿宋" w:cs="宋体"/>
          <w:color w:val="333333"/>
          <w:kern w:val="0"/>
          <w:sz w:val="32"/>
          <w:szCs w:val="32"/>
        </w:rPr>
        <w:t>答：《实施细则》对进一步贯彻落实公平竞争审查制度具有重要的指导意义。下一步，国家发展改革委将会同有关部门，切实抓好《实施细则》的组织实施工作。</w:t>
      </w:r>
    </w:p>
    <w:p>
      <w:pPr>
        <w:keepNext w:val="0"/>
        <w:keepLines w:val="0"/>
        <w:pageBreakBefore w:val="0"/>
        <w:widowControl/>
        <w:shd w:val="clear" w:color="auto" w:fill="FFFFFF"/>
        <w:kinsoku/>
        <w:wordWrap/>
        <w:overflowPunct/>
        <w:topLinePunct w:val="0"/>
        <w:autoSpaceDE/>
        <w:autoSpaceDN/>
        <w:bidi w:val="0"/>
        <w:adjustRightInd/>
        <w:snapToGrid/>
        <w:spacing w:line="580" w:lineRule="exact"/>
        <w:ind w:left="0" w:leftChars="0" w:right="0" w:rightChars="0" w:firstLine="0" w:firstLineChars="0"/>
        <w:jc w:val="both"/>
        <w:textAlignment w:val="auto"/>
        <w:rPr>
          <w:rFonts w:hint="eastAsia" w:ascii="仿宋" w:hAnsi="仿宋" w:eastAsia="仿宋" w:cs="宋体"/>
          <w:color w:val="333333"/>
          <w:kern w:val="0"/>
          <w:sz w:val="32"/>
          <w:szCs w:val="32"/>
        </w:rPr>
      </w:pPr>
      <w:r>
        <w:rPr>
          <w:rFonts w:hint="eastAsia" w:ascii="仿宋" w:hAnsi="仿宋" w:eastAsia="仿宋" w:cs="宋体"/>
          <w:color w:val="333333"/>
          <w:kern w:val="0"/>
          <w:sz w:val="32"/>
          <w:szCs w:val="32"/>
        </w:rPr>
        <w:t>（一）做好《实施细则》的宣传解读和贯彻落实。通过刊发文章、组织培训等方式，加强对《实施细则》的宣传解读，使各地区、各部门尽快了解和掌握主要内容，将审查程序、审查标准、例外规定、责任追究等方面的要求落实到实际工作中来，充分发挥《实施细则》的指导作用，推动公平竞争审查制度的进一步贯彻落实。</w:t>
      </w:r>
    </w:p>
    <w:p>
      <w:pPr>
        <w:keepNext w:val="0"/>
        <w:keepLines w:val="0"/>
        <w:pageBreakBefore w:val="0"/>
        <w:widowControl/>
        <w:shd w:val="clear" w:color="auto" w:fill="FFFFFF"/>
        <w:kinsoku/>
        <w:wordWrap/>
        <w:overflowPunct/>
        <w:topLinePunct w:val="0"/>
        <w:autoSpaceDE/>
        <w:autoSpaceDN/>
        <w:bidi w:val="0"/>
        <w:adjustRightInd/>
        <w:snapToGrid/>
        <w:spacing w:line="580" w:lineRule="exact"/>
        <w:ind w:left="0" w:leftChars="0" w:right="0" w:rightChars="0" w:firstLine="0" w:firstLineChars="0"/>
        <w:jc w:val="both"/>
        <w:textAlignment w:val="auto"/>
        <w:rPr>
          <w:rFonts w:hint="eastAsia" w:ascii="仿宋" w:hAnsi="仿宋" w:eastAsia="仿宋" w:cs="宋体"/>
          <w:color w:val="333333"/>
          <w:kern w:val="0"/>
          <w:sz w:val="32"/>
          <w:szCs w:val="32"/>
        </w:rPr>
      </w:pPr>
      <w:r>
        <w:rPr>
          <w:rFonts w:hint="eastAsia" w:ascii="仿宋" w:hAnsi="仿宋" w:eastAsia="仿宋" w:cs="宋体"/>
          <w:color w:val="333333"/>
          <w:kern w:val="0"/>
          <w:sz w:val="32"/>
          <w:szCs w:val="32"/>
        </w:rPr>
        <w:t>（二）严格审查增量政策。督促和指导各地区、各部门按照34号文件和《实施细则》的要求，进一步健全审查机制、落实审查责任，把公平竞争审查落实到每一项政策的起草和决策过程中，切实保障公平竞争审查的实际效果，防止再出台新的排除、限制竞争的政策措施。</w:t>
      </w:r>
    </w:p>
    <w:p>
      <w:pPr>
        <w:keepNext w:val="0"/>
        <w:keepLines w:val="0"/>
        <w:pageBreakBefore w:val="0"/>
        <w:widowControl/>
        <w:shd w:val="clear" w:color="auto" w:fill="FFFFFF"/>
        <w:kinsoku/>
        <w:wordWrap/>
        <w:overflowPunct/>
        <w:topLinePunct w:val="0"/>
        <w:autoSpaceDE/>
        <w:autoSpaceDN/>
        <w:bidi w:val="0"/>
        <w:adjustRightInd/>
        <w:snapToGrid/>
        <w:spacing w:line="580" w:lineRule="exact"/>
        <w:ind w:left="0" w:leftChars="0" w:right="0" w:rightChars="0" w:firstLine="0" w:firstLineChars="0"/>
        <w:jc w:val="both"/>
        <w:textAlignment w:val="auto"/>
        <w:rPr>
          <w:rFonts w:hint="eastAsia" w:ascii="仿宋" w:hAnsi="仿宋" w:eastAsia="仿宋" w:cs="宋体"/>
          <w:color w:val="333333"/>
          <w:kern w:val="0"/>
          <w:sz w:val="32"/>
          <w:szCs w:val="32"/>
        </w:rPr>
      </w:pPr>
      <w:r>
        <w:rPr>
          <w:rFonts w:hint="eastAsia" w:ascii="仿宋" w:hAnsi="仿宋" w:eastAsia="仿宋" w:cs="宋体"/>
          <w:color w:val="333333"/>
          <w:kern w:val="0"/>
          <w:sz w:val="32"/>
          <w:szCs w:val="32"/>
        </w:rPr>
        <w:t>（三）组织开展专项督导。以部际联席会议名义开展督导调研，督促各地区、各部门落实34号文件和《实施细则》，总结推广先进的经验做法，督促落实不力的地方和部门改进工作。</w:t>
      </w:r>
    </w:p>
    <w:p>
      <w:pPr>
        <w:keepNext w:val="0"/>
        <w:keepLines w:val="0"/>
        <w:pageBreakBefore w:val="0"/>
        <w:widowControl/>
        <w:shd w:val="clear" w:color="auto" w:fill="FFFFFF"/>
        <w:kinsoku/>
        <w:wordWrap/>
        <w:overflowPunct/>
        <w:topLinePunct w:val="0"/>
        <w:autoSpaceDE/>
        <w:autoSpaceDN/>
        <w:bidi w:val="0"/>
        <w:adjustRightInd/>
        <w:snapToGrid/>
        <w:spacing w:line="580" w:lineRule="exact"/>
        <w:ind w:left="0" w:leftChars="0" w:right="0" w:rightChars="0" w:firstLine="0" w:firstLineChars="0"/>
        <w:jc w:val="both"/>
        <w:textAlignment w:val="auto"/>
        <w:rPr>
          <w:rFonts w:hint="eastAsia" w:ascii="仿宋" w:hAnsi="仿宋" w:eastAsia="仿宋" w:cs="宋体"/>
          <w:color w:val="333333"/>
          <w:kern w:val="0"/>
          <w:sz w:val="32"/>
          <w:szCs w:val="32"/>
        </w:rPr>
      </w:pPr>
      <w:r>
        <w:rPr>
          <w:rFonts w:hint="eastAsia" w:ascii="仿宋" w:hAnsi="仿宋" w:eastAsia="仿宋" w:cs="宋体"/>
          <w:color w:val="333333"/>
          <w:kern w:val="0"/>
          <w:sz w:val="32"/>
          <w:szCs w:val="32"/>
        </w:rPr>
        <w:t>（四）进一步强化反垄断执法。依法加大执法力度，查处一批典型的滥用行政权力排除、限制竞争案件，及时公开案件情况，倒逼政策制定机关认真进行公平竞争审查，使反垄断执法与公平竞争审查形成合力，共同规范行政行为、维护市场公平竞争。</w:t>
      </w:r>
    </w:p>
    <w:p>
      <w:pPr>
        <w:keepNext w:val="0"/>
        <w:keepLines w:val="0"/>
        <w:pageBreakBefore w:val="0"/>
        <w:widowControl/>
        <w:shd w:val="clear" w:color="auto" w:fill="FFFFFF"/>
        <w:kinsoku/>
        <w:wordWrap/>
        <w:overflowPunct/>
        <w:topLinePunct w:val="0"/>
        <w:autoSpaceDE/>
        <w:autoSpaceDN/>
        <w:bidi w:val="0"/>
        <w:adjustRightInd/>
        <w:snapToGrid/>
        <w:spacing w:line="580" w:lineRule="exact"/>
        <w:ind w:left="0" w:leftChars="0" w:right="0" w:rightChars="0" w:firstLine="0" w:firstLineChars="0"/>
        <w:jc w:val="both"/>
        <w:textAlignment w:val="auto"/>
        <w:rPr>
          <w:rFonts w:hint="eastAsia" w:ascii="仿宋" w:hAnsi="仿宋" w:eastAsia="仿宋" w:cs="宋体"/>
          <w:color w:val="333333"/>
          <w:kern w:val="0"/>
          <w:sz w:val="32"/>
          <w:szCs w:val="32"/>
        </w:rPr>
      </w:pPr>
      <w:r>
        <w:rPr>
          <w:rFonts w:hint="eastAsia" w:ascii="仿宋" w:hAnsi="仿宋" w:eastAsia="仿宋" w:cs="宋体"/>
          <w:color w:val="333333"/>
          <w:kern w:val="0"/>
          <w:sz w:val="32"/>
          <w:szCs w:val="32"/>
        </w:rPr>
        <w:t>（五）加强监督问责。对未进行审查或者违反审查标准出台政策措施的政府部门，按照34号文件和《实施细则》规定严格追究责任，并依法及时向社会公开有关处理决定，发挥典型案例的警示教育作用。</w:t>
      </w:r>
    </w:p>
    <w:p>
      <w:pPr>
        <w:keepNext w:val="0"/>
        <w:keepLines w:val="0"/>
        <w:pageBreakBefore w:val="0"/>
        <w:kinsoku/>
        <w:wordWrap/>
        <w:overflowPunct/>
        <w:topLinePunct w:val="0"/>
        <w:autoSpaceDE/>
        <w:autoSpaceDN/>
        <w:bidi w:val="0"/>
        <w:adjustRightInd/>
        <w:snapToGrid/>
        <w:spacing w:line="540" w:lineRule="exact"/>
        <w:ind w:left="0" w:leftChars="0" w:right="0" w:rightChars="0" w:firstLine="0" w:firstLineChars="0"/>
        <w:jc w:val="both"/>
        <w:textAlignment w:val="auto"/>
        <w:rPr>
          <w:rFonts w:ascii="仿宋" w:hAnsi="仿宋" w:eastAsia="仿宋"/>
          <w:sz w:val="32"/>
          <w:szCs w:val="32"/>
        </w:rPr>
      </w:pPr>
    </w:p>
    <w:p/>
    <w:sectPr>
      <w:footerReference r:id="rId3" w:type="default"/>
      <w:pgSz w:w="11906" w:h="16838"/>
      <w:pgMar w:top="1837" w:right="1531" w:bottom="1553" w:left="1531" w:header="851" w:footer="992" w:gutter="0"/>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A00002EF" w:usb1="4000004B" w:usb2="00000000" w:usb3="00000000" w:csb0="2000019F" w:csb1="00000000"/>
  </w:font>
  <w:font w:name="Calibri">
    <w:panose1 w:val="020F0502020204030204"/>
    <w:charset w:val="00"/>
    <w:family w:val="swiss"/>
    <w:pitch w:val="default"/>
    <w:sig w:usb0="E10002FF" w:usb1="4000ACFF" w:usb2="00000009" w:usb3="00000000" w:csb0="2000019F" w:csb1="00000000"/>
  </w:font>
  <w:font w:name="Courier New">
    <w:panose1 w:val="02070309020205020404"/>
    <w:charset w:val="00"/>
    <w:family w:val="modern"/>
    <w:pitch w:val="default"/>
    <w:sig w:usb0="E0002AFF" w:usb1="C0007843" w:usb2="00000009" w:usb3="00000000" w:csb0="400001FF" w:csb1="FFFF0000"/>
  </w:font>
  <w:font w:name="微软雅黑">
    <w:panose1 w:val="020B0503020204020204"/>
    <w:charset w:val="86"/>
    <w:family w:val="swiss"/>
    <w:pitch w:val="default"/>
    <w:sig w:usb0="80000287" w:usb1="280F3C52" w:usb2="00000016" w:usb3="00000000" w:csb0="0004001F" w:csb1="00000000"/>
  </w:font>
  <w:font w:name="仿宋">
    <w:panose1 w:val="02010609060101010101"/>
    <w:charset w:val="86"/>
    <w:family w:val="modern"/>
    <w:pitch w:val="default"/>
    <w:sig w:usb0="800002BF" w:usb1="38CF7CFA" w:usb2="00000016" w:usb3="00000000" w:csb0="00040001" w:csb1="00000000"/>
  </w:font>
  <w:font w:name="Arial">
    <w:panose1 w:val="020B0604020202020204"/>
    <w:charset w:val="00"/>
    <w:family w:val="auto"/>
    <w:pitch w:val="default"/>
    <w:sig w:usb0="E0002AFF" w:usb1="C0007843" w:usb2="00000009" w:usb3="00000000" w:csb0="400001FF" w:csb1="FFFF0000"/>
  </w:font>
  <w:font w:name="楷体">
    <w:panose1 w:val="02010609060101010101"/>
    <w:charset w:val="86"/>
    <w:family w:val="auto"/>
    <w:pitch w:val="default"/>
    <w:sig w:usb0="800002BF" w:usb1="38CF7CFA" w:usb2="00000016" w:usb3="00000000" w:csb0="00040001" w:csb1="00000000"/>
  </w:font>
  <w:font w:name="Batang">
    <w:panose1 w:val="02030600000101010101"/>
    <w:charset w:val="81"/>
    <w:family w:val="auto"/>
    <w:pitch w:val="default"/>
    <w:sig w:usb0="B00002AF" w:usb1="69D77CFB" w:usb2="00000030" w:usb3="00000000" w:csb0="4008009F" w:csb1="DFD70000"/>
  </w:font>
  <w:font w:name="新宋体">
    <w:panose1 w:val="02010609030101010101"/>
    <w:charset w:val="86"/>
    <w:family w:val="auto"/>
    <w:pitch w:val="default"/>
    <w:sig w:usb0="00000003" w:usb1="288F0000" w:usb2="0000000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9563408"/>
      <w:docPartObj>
        <w:docPartGallery w:val="autotext"/>
      </w:docPartObj>
    </w:sdtPr>
    <w:sdtContent>
      <w:p>
        <w:pPr>
          <w:pStyle w:val="2"/>
          <w:jc w:val="center"/>
        </w:pPr>
        <w:r>
          <w:fldChar w:fldCharType="begin"/>
        </w:r>
        <w:r>
          <w:instrText xml:space="preserve"> PAGE   \* MERGEFORMAT </w:instrText>
        </w:r>
        <w:r>
          <w:fldChar w:fldCharType="separate"/>
        </w:r>
        <w:r>
          <w:rPr>
            <w:lang w:val="zh-CN"/>
          </w:rPr>
          <w:t>1</w:t>
        </w:r>
        <w:r>
          <w:rPr>
            <w:lang w:val="zh-CN"/>
          </w:rPr>
          <w:fldChar w:fldCharType="end"/>
        </w:r>
      </w:p>
    </w:sdtContent>
  </w:sdt>
  <w:p>
    <w:pPr>
      <w:pStyle w:val="2"/>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42E21B39"/>
    <w:multiLevelType w:val="singleLevel"/>
    <w:tmpl w:val="42E21B39"/>
    <w:lvl w:ilvl="0" w:tentative="0">
      <w:start w:val="1"/>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FAB7E2E"/>
    <w:rsid w:val="6FAB7E2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3">
    <w:name w:val="Default Paragraph Font"/>
    <w:semiHidden/>
    <w:uiPriority w:val="0"/>
  </w:style>
  <w:style w:type="table" w:default="1" w:styleId="4">
    <w:name w:val="Normal Table"/>
    <w:semiHidden/>
    <w:uiPriority w:val="0"/>
    <w:tblPr>
      <w:tblLayout w:type="fixed"/>
      <w:tblCellMar>
        <w:top w:w="0" w:type="dxa"/>
        <w:left w:w="108" w:type="dxa"/>
        <w:bottom w:w="0" w:type="dxa"/>
        <w:right w:w="108" w:type="dxa"/>
      </w:tblCellMar>
    </w:tblPr>
  </w:style>
  <w:style w:type="paragraph" w:styleId="2">
    <w:name w:val="footer"/>
    <w:basedOn w:val="1"/>
    <w:uiPriority w:val="0"/>
    <w:pPr>
      <w:tabs>
        <w:tab w:val="center" w:pos="4153"/>
        <w:tab w:val="right" w:pos="8306"/>
      </w:tabs>
      <w:snapToGrid w:val="0"/>
      <w:jc w:val="left"/>
    </w:pPr>
    <w:rPr>
      <w:sz w:val="18"/>
      <w:szCs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Office_10.1.0.7022_F1E327BC-269C-435d-A152-05C5408002CA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2018-02-01T09:14:00Z</dcterms:created>
  <dc:creator>1 巧</dc:creator>
  <cp:lastModifiedBy>1 巧</cp:lastModifiedBy>
  <dcterms:modified xsi:type="dcterms:W3CDTF">2018-02-01T09:15:22Z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2052-10.1.0.7022</vt:lpwstr>
  </property>
</Properties>
</file>